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C" w:rsidRDefault="00BF4479" w:rsidP="00EC581C">
      <w:r>
        <w:t>Šifra grada: 133</w:t>
      </w:r>
    </w:p>
    <w:p w:rsidR="00BF4479" w:rsidRDefault="00BF4479" w:rsidP="00EC581C">
      <w:r>
        <w:t>Broj RKP-a: 15497</w:t>
      </w:r>
    </w:p>
    <w:p w:rsidR="00BF4479" w:rsidRDefault="00BF4479" w:rsidP="00EC581C">
      <w:r>
        <w:t>Matični broj: 03276490</w:t>
      </w:r>
    </w:p>
    <w:p w:rsidR="00BF4479" w:rsidRDefault="00BF4479" w:rsidP="00EC581C">
      <w:r>
        <w:t>OIB: 28877650160</w:t>
      </w:r>
    </w:p>
    <w:p w:rsidR="00BF4479" w:rsidRDefault="00BF4479" w:rsidP="00EC581C">
      <w:r>
        <w:t>Razina : 31</w:t>
      </w:r>
    </w:p>
    <w:p w:rsidR="00BF4479" w:rsidRDefault="00BF4479" w:rsidP="00EC581C">
      <w:r>
        <w:t>Razdjel : 000</w:t>
      </w:r>
    </w:p>
    <w:p w:rsidR="00BF4479" w:rsidRDefault="00BF4479" w:rsidP="00EC581C">
      <w:r>
        <w:t>Šifra djelatnosti : 8520</w:t>
      </w:r>
    </w:p>
    <w:p w:rsidR="00BF4479" w:rsidRDefault="00BF4479" w:rsidP="00EC581C">
      <w:r>
        <w:t>Razdoblje: 01.01.20</w:t>
      </w:r>
      <w:r w:rsidR="00976154">
        <w:t>20</w:t>
      </w:r>
      <w:r>
        <w:t>.-31.12.20</w:t>
      </w:r>
      <w:r w:rsidR="00976154">
        <w:t>20</w:t>
      </w:r>
      <w:r>
        <w:t>.</w:t>
      </w:r>
    </w:p>
    <w:p w:rsidR="00BF4479" w:rsidRDefault="00BF4479" w:rsidP="00EC581C"/>
    <w:p w:rsidR="00BF4479" w:rsidRPr="00BF4479" w:rsidRDefault="00BF4479" w:rsidP="00BF4479">
      <w:pPr>
        <w:spacing w:line="360" w:lineRule="auto"/>
        <w:jc w:val="center"/>
        <w:rPr>
          <w:b/>
          <w:sz w:val="32"/>
          <w:szCs w:val="32"/>
        </w:rPr>
      </w:pPr>
      <w:r w:rsidRPr="00BF4479">
        <w:rPr>
          <w:b/>
          <w:sz w:val="32"/>
          <w:szCs w:val="32"/>
        </w:rPr>
        <w:t>BILJEŠKE</w:t>
      </w:r>
    </w:p>
    <w:p w:rsidR="00BF4479" w:rsidRPr="00BF4479" w:rsidRDefault="00BF4479" w:rsidP="00BF44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BF4479">
        <w:rPr>
          <w:sz w:val="28"/>
          <w:szCs w:val="28"/>
        </w:rPr>
        <w:t>z financijsk</w:t>
      </w:r>
      <w:r w:rsidR="00976154">
        <w:rPr>
          <w:sz w:val="28"/>
          <w:szCs w:val="28"/>
        </w:rPr>
        <w:t>a izvješća u razdoblju 01.01.2020</w:t>
      </w:r>
      <w:r w:rsidRPr="00BF4479">
        <w:rPr>
          <w:sz w:val="28"/>
          <w:szCs w:val="28"/>
        </w:rPr>
        <w:t>.-31.12.20</w:t>
      </w:r>
      <w:r w:rsidR="00976154">
        <w:rPr>
          <w:sz w:val="28"/>
          <w:szCs w:val="28"/>
        </w:rPr>
        <w:t>20</w:t>
      </w:r>
      <w:r w:rsidRPr="00BF4479">
        <w:rPr>
          <w:sz w:val="28"/>
          <w:szCs w:val="28"/>
        </w:rPr>
        <w:t>.</w:t>
      </w:r>
    </w:p>
    <w:p w:rsidR="00EC581C" w:rsidRDefault="00EC581C" w:rsidP="00EC581C"/>
    <w:p w:rsidR="00EC581C" w:rsidRDefault="00EC581C" w:rsidP="00EC581C"/>
    <w:p w:rsidR="00EC581C" w:rsidRDefault="00EC581C" w:rsidP="00EC581C"/>
    <w:p w:rsidR="00EC581C" w:rsidRDefault="00EC581C" w:rsidP="00EC581C">
      <w:r>
        <w:t>BILJEŠKE UZ BILANCU</w:t>
      </w:r>
    </w:p>
    <w:p w:rsidR="00EC581C" w:rsidRDefault="00EC581C" w:rsidP="008D2C41">
      <w:pPr>
        <w:spacing w:line="360" w:lineRule="auto"/>
      </w:pPr>
    </w:p>
    <w:p w:rsidR="008A7415" w:rsidRDefault="008A7415" w:rsidP="008D2C41">
      <w:pPr>
        <w:pStyle w:val="Odlomakpopisa"/>
        <w:numPr>
          <w:ilvl w:val="0"/>
          <w:numId w:val="6"/>
        </w:numPr>
        <w:spacing w:line="360" w:lineRule="auto"/>
      </w:pPr>
      <w:r>
        <w:t>AOP 020 Sportska i glazbena oprema – indeks povećanja 116% odnosi se na nabavu glazbene opreme za potrebe nastave glazbene kulture.</w:t>
      </w:r>
    </w:p>
    <w:p w:rsidR="008A7415" w:rsidRDefault="008A7415" w:rsidP="008D2C41">
      <w:pPr>
        <w:pStyle w:val="Odlomakpopisa"/>
        <w:numPr>
          <w:ilvl w:val="0"/>
          <w:numId w:val="6"/>
        </w:numPr>
        <w:spacing w:line="360" w:lineRule="auto"/>
      </w:pPr>
      <w:r>
        <w:t>AOP 030 Knjige – indeks povećanja 56% odnosi se na nabavu školskih udžbenika.</w:t>
      </w:r>
    </w:p>
    <w:p w:rsidR="00EC581C" w:rsidRDefault="00EC581C" w:rsidP="008D2C41">
      <w:pPr>
        <w:pStyle w:val="Odlomakpopisa"/>
        <w:numPr>
          <w:ilvl w:val="0"/>
          <w:numId w:val="6"/>
        </w:numPr>
        <w:spacing w:line="360" w:lineRule="auto"/>
      </w:pPr>
      <w:r>
        <w:t xml:space="preserve">AOP 163 Obveze – </w:t>
      </w:r>
      <w:r w:rsidR="008A7415">
        <w:t>indeks povećanja 67%</w:t>
      </w:r>
      <w:r w:rsidR="008D2C41">
        <w:t xml:space="preserve"> odnosi se na obveze za račune</w:t>
      </w:r>
      <w:r w:rsidR="008A7415">
        <w:t xml:space="preserve"> za školske udžbenike</w:t>
      </w:r>
      <w:r w:rsidR="008D2C41">
        <w:t>, radne bilježnice</w:t>
      </w:r>
      <w:r w:rsidR="008A7415">
        <w:t xml:space="preserve"> </w:t>
      </w:r>
      <w:r w:rsidR="008D2C41">
        <w:t>i nabavu školskog namještaja,</w:t>
      </w:r>
      <w:r w:rsidR="008A7415">
        <w:t xml:space="preserve"> čije plaćanje se</w:t>
      </w:r>
      <w:r w:rsidR="008D2C41">
        <w:t xml:space="preserve"> provesti u 2020. godini nakon doznake sredstava od strane osnivača.</w:t>
      </w:r>
    </w:p>
    <w:p w:rsidR="00BF4479" w:rsidRDefault="00BF4479" w:rsidP="008D2C41">
      <w:pPr>
        <w:pStyle w:val="Odlomakpopisa"/>
        <w:numPr>
          <w:ilvl w:val="0"/>
          <w:numId w:val="6"/>
        </w:numPr>
        <w:spacing w:line="360" w:lineRule="auto"/>
      </w:pPr>
      <w:r>
        <w:t>AOP 238 Manjak prihoda od nefinancijske imovine- škola nije imala prihoda od nefinancijske imovine, te se manjak od nefinancijske imovine podmiruje iz viška prihoda poslovanja</w:t>
      </w:r>
      <w:r w:rsidR="008D2C41">
        <w:t>.</w:t>
      </w:r>
    </w:p>
    <w:p w:rsidR="00EC581C" w:rsidRDefault="00EC581C" w:rsidP="00EC581C"/>
    <w:p w:rsidR="008338A3" w:rsidRDefault="008338A3" w:rsidP="00EC581C"/>
    <w:p w:rsidR="00EC581C" w:rsidRDefault="00EC581C" w:rsidP="00EC581C">
      <w:r>
        <w:t>BILJEŠKE UZ IZVJEŠTAJ O PRIHODIMA, RASHODIMA, PRIMICIMA I IZDACIMA</w:t>
      </w:r>
    </w:p>
    <w:p w:rsidR="008D2C41" w:rsidRDefault="008D2C41" w:rsidP="00EC581C"/>
    <w:p w:rsidR="008D2C41" w:rsidRDefault="008D2C41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001 Prihodi poslovanja na razini su prošlogodišnjih prihoda.</w:t>
      </w: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153 Plaće za prekovrem</w:t>
      </w:r>
      <w:r w:rsidR="008D2C41">
        <w:t>eni rad –indeks povećanja od 69</w:t>
      </w:r>
      <w:r>
        <w:t xml:space="preserve">% nastao je zbog većeg broja zamjena </w:t>
      </w:r>
      <w:r w:rsidR="00BF4479">
        <w:t>zaposlenika na bolovanjima</w:t>
      </w: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17</w:t>
      </w:r>
      <w:r w:rsidR="008D2C41">
        <w:t>6</w:t>
      </w:r>
      <w:r>
        <w:t xml:space="preserve"> Usluge </w:t>
      </w:r>
      <w:r w:rsidR="008D2C41">
        <w:t>tekućeg i investicijskog održavanja</w:t>
      </w:r>
      <w:r>
        <w:t xml:space="preserve"> – indeks povećanja od </w:t>
      </w:r>
      <w:r w:rsidR="008D2C41">
        <w:t>457</w:t>
      </w:r>
      <w:r>
        <w:t xml:space="preserve">% odnosi se na </w:t>
      </w:r>
      <w:r w:rsidR="008D2C41">
        <w:t>radove na instalacijama za novoizgrađenu sportsku dvoranu.</w:t>
      </w:r>
    </w:p>
    <w:p w:rsidR="00D63090" w:rsidRDefault="00D63090" w:rsidP="00D63090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D63090" w:rsidRDefault="00D63090" w:rsidP="00D63090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D63090" w:rsidRDefault="00D63090" w:rsidP="00D63090">
      <w:pPr>
        <w:pStyle w:val="Odlomakpopisa"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center"/>
        <w:textAlignment w:val="auto"/>
      </w:pPr>
      <w:r>
        <w:lastRenderedPageBreak/>
        <w:t>2  –</w:t>
      </w:r>
    </w:p>
    <w:p w:rsidR="00D63090" w:rsidRDefault="00D63090" w:rsidP="00D63090">
      <w:pPr>
        <w:pStyle w:val="Odlomakpopisa"/>
        <w:overflowPunct/>
        <w:autoSpaceDE/>
        <w:autoSpaceDN/>
        <w:adjustRightInd/>
        <w:spacing w:line="276" w:lineRule="auto"/>
        <w:ind w:left="1080"/>
        <w:jc w:val="center"/>
        <w:textAlignment w:val="auto"/>
      </w:pPr>
    </w:p>
    <w:p w:rsidR="00EC581C" w:rsidRDefault="00EC581C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AOP 181 Intelektualne i osobne usluge – indeks povećanja od </w:t>
      </w:r>
      <w:r w:rsidR="002809DA">
        <w:t>132</w:t>
      </w:r>
      <w:r>
        <w:t xml:space="preserve">% odnosi se na </w:t>
      </w:r>
      <w:r w:rsidR="002809DA">
        <w:t>usluge procjene rizika i izrade projektnih dokumentacija za preuređenje stare sportske dvorane u učionice.</w:t>
      </w:r>
    </w:p>
    <w:p w:rsidR="002809DA" w:rsidRDefault="002809DA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183 Ostale usluge – indeks povećanja 154% odnosi se na usluge provjere vjerodostojnosti diploma.</w:t>
      </w:r>
    </w:p>
    <w:p w:rsidR="002809DA" w:rsidRDefault="002809DA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188 Reprezentacija – indeks povećanja 379% odnosi se na trošak stručnih skupova za potrebe kurikuluma, refundiran od strane MZO.</w:t>
      </w:r>
    </w:p>
    <w:p w:rsidR="00192B34" w:rsidRDefault="00192B34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192 Ostali nespomenuti rashodi poslovanja – indeks po</w:t>
      </w:r>
      <w:r w:rsidR="00ED0433">
        <w:t>v</w:t>
      </w:r>
      <w:r>
        <w:t xml:space="preserve">ećanja od 1106% odnosi se </w:t>
      </w:r>
      <w:r w:rsidR="00ED0433">
        <w:t>na materijal za nastavu za potrebe provedbe kurikuluma refundiran od strane MZO i program škole u prirodi financiran od strane osnivača.</w:t>
      </w:r>
    </w:p>
    <w:p w:rsidR="00ED0433" w:rsidRDefault="00ED0433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361 Uredski namještaj – indeks povećanja od 65% odnosi se na nabavu namještaja za novu učionicu i novoizgrađenu sportsku dvoranu.</w:t>
      </w:r>
    </w:p>
    <w:p w:rsidR="00ED0433" w:rsidRDefault="00ED0433" w:rsidP="00F662F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AOP 374 Knjige – indeks povećanja 1073% odnosi se na nabavu školskih udžbenika.</w:t>
      </w:r>
    </w:p>
    <w:p w:rsidR="00DE0E7C" w:rsidRDefault="00EC581C" w:rsidP="00DE0E7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AOP 635 </w:t>
      </w:r>
      <w:r w:rsidR="00DE0E7C">
        <w:t>Višak prihoda i primitaka raspoloživ u slijedećem razdoblju u iznosu 167.798 kn odnosi se na naplaćena potraživanja iz 2018. godine, neutrošeni preneseni višak iz 2018. i sredstva primljena od MZO za račune za nabavu školskih</w:t>
      </w:r>
      <w:r w:rsidR="00D63090">
        <w:t xml:space="preserve"> udžbenika, koji će biti plaćeni</w:t>
      </w:r>
      <w:r w:rsidR="00DE0E7C">
        <w:t xml:space="preserve"> 2020. godini.</w:t>
      </w:r>
    </w:p>
    <w:p w:rsidR="00EC581C" w:rsidRDefault="00EC581C" w:rsidP="00EC581C"/>
    <w:p w:rsidR="00EC581C" w:rsidRDefault="00EC581C" w:rsidP="00EC581C"/>
    <w:p w:rsidR="00EC581C" w:rsidRDefault="00EC581C" w:rsidP="00F662F7">
      <w:pPr>
        <w:spacing w:line="276" w:lineRule="auto"/>
      </w:pPr>
    </w:p>
    <w:p w:rsidR="00EC581C" w:rsidRDefault="00EC581C" w:rsidP="00F662F7">
      <w:pPr>
        <w:spacing w:line="276" w:lineRule="auto"/>
        <w:jc w:val="both"/>
      </w:pPr>
      <w:r>
        <w:t>Raspoloživi višak će se, Odlukom školskog odbora, utrošiti za plaćanje računa po dospijeću naplate, uređenje školske zgrade, nabavu opreme, te za potrebe daljnjeg stručnog usavršavanja djelatnika.</w:t>
      </w:r>
    </w:p>
    <w:p w:rsidR="000B6AEF" w:rsidRDefault="000B6AEF" w:rsidP="00EC581C"/>
    <w:p w:rsidR="008338A3" w:rsidRDefault="00F662F7" w:rsidP="00EC581C">
      <w:r>
        <w:t xml:space="preserve"> </w:t>
      </w:r>
    </w:p>
    <w:p w:rsidR="00F662F7" w:rsidRDefault="00F662F7" w:rsidP="00EC581C"/>
    <w:p w:rsidR="008338A3" w:rsidRDefault="008338A3" w:rsidP="00EC581C">
      <w:r>
        <w:t>BILJEŠKE UZ IZVJEŠTAJ O PROMJENAMA U VRIJEDNOSTI I OBUJMU IMOVINE I OBVEZA</w:t>
      </w:r>
    </w:p>
    <w:p w:rsidR="008338A3" w:rsidRDefault="008338A3" w:rsidP="00EC581C"/>
    <w:p w:rsidR="008338A3" w:rsidRDefault="00D63090" w:rsidP="008338A3">
      <w:pPr>
        <w:pStyle w:val="Odlomakpopisa"/>
        <w:numPr>
          <w:ilvl w:val="0"/>
          <w:numId w:val="7"/>
        </w:numPr>
      </w:pPr>
      <w:r>
        <w:t>Nije bilo povećanja niti smanjenja obujma imovine u 20</w:t>
      </w:r>
      <w:r w:rsidR="00976154">
        <w:t>20</w:t>
      </w:r>
      <w:r>
        <w:t>. godini.</w:t>
      </w:r>
    </w:p>
    <w:p w:rsidR="00364820" w:rsidRDefault="00364820" w:rsidP="00364820">
      <w:pPr>
        <w:pStyle w:val="Odlomakpopisa"/>
      </w:pPr>
    </w:p>
    <w:p w:rsidR="00F662F7" w:rsidRDefault="00F662F7" w:rsidP="00364820">
      <w:pPr>
        <w:pStyle w:val="Odlomakpopisa"/>
      </w:pPr>
    </w:p>
    <w:p w:rsidR="008338A3" w:rsidRDefault="008338A3" w:rsidP="008338A3"/>
    <w:p w:rsidR="008338A3" w:rsidRDefault="008338A3" w:rsidP="008338A3">
      <w:r>
        <w:t>BILJEŠKE UZ IZVJEŠTAJ O RASHODIMA PREMA FUNKCIJSKOJ KLASIFIKACIJI</w:t>
      </w:r>
    </w:p>
    <w:p w:rsidR="00364820" w:rsidRDefault="00364820" w:rsidP="008338A3"/>
    <w:p w:rsidR="00364820" w:rsidRDefault="00364820" w:rsidP="00F662F7">
      <w:pPr>
        <w:pStyle w:val="Odlomakpopisa"/>
        <w:numPr>
          <w:ilvl w:val="0"/>
          <w:numId w:val="8"/>
        </w:numPr>
        <w:spacing w:line="276" w:lineRule="auto"/>
      </w:pPr>
      <w:r>
        <w:t xml:space="preserve">AOP110 Obrazovanje – </w:t>
      </w:r>
      <w:r w:rsidR="00D63090">
        <w:t>indeks povećanja od 13% odnosi se na nabavu školskih udžbenika i namještaja za novoizgrađenu sportsku dvoranu u 2019. godini.</w:t>
      </w:r>
    </w:p>
    <w:p w:rsidR="00364820" w:rsidRDefault="00364820" w:rsidP="00364820">
      <w:pPr>
        <w:pStyle w:val="Odlomakpopisa"/>
      </w:pPr>
    </w:p>
    <w:p w:rsidR="00F662F7" w:rsidRDefault="00F662F7" w:rsidP="00364820"/>
    <w:p w:rsidR="00F662F7" w:rsidRDefault="00F662F7" w:rsidP="00F662F7">
      <w:pPr>
        <w:pStyle w:val="Odlomakpopisa"/>
        <w:numPr>
          <w:ilvl w:val="0"/>
          <w:numId w:val="11"/>
        </w:numPr>
        <w:jc w:val="center"/>
      </w:pPr>
      <w:r>
        <w:t>3    -</w:t>
      </w:r>
    </w:p>
    <w:p w:rsidR="00F662F7" w:rsidRDefault="00F662F7" w:rsidP="00364820"/>
    <w:p w:rsidR="00F662F7" w:rsidRDefault="00F662F7" w:rsidP="00364820"/>
    <w:p w:rsidR="00364820" w:rsidRDefault="00364820" w:rsidP="00364820">
      <w:r>
        <w:t>BILJEŠKE UZ IVJEŠTAJ O OBVEZAMA</w:t>
      </w:r>
    </w:p>
    <w:p w:rsidR="00364820" w:rsidRDefault="00364820" w:rsidP="00364820"/>
    <w:p w:rsidR="00364820" w:rsidRDefault="00364820" w:rsidP="00F662F7">
      <w:pPr>
        <w:pStyle w:val="Odlomakpopisa"/>
        <w:numPr>
          <w:ilvl w:val="0"/>
          <w:numId w:val="9"/>
        </w:numPr>
        <w:spacing w:line="276" w:lineRule="auto"/>
      </w:pPr>
      <w:r>
        <w:t xml:space="preserve">AOP 037 Stanje dospjelih obveza u iznosu </w:t>
      </w:r>
      <w:r w:rsidR="00BD3BFE">
        <w:t>371.717</w:t>
      </w:r>
      <w:r>
        <w:t xml:space="preserve"> kn odnosi se na dospjele neplaćene račune koji su z</w:t>
      </w:r>
      <w:r w:rsidR="00BD3BFE">
        <w:t>aprimljeni iza 31.12.2019</w:t>
      </w:r>
      <w:r>
        <w:t>. a odnose se na prosinac 201</w:t>
      </w:r>
      <w:r w:rsidR="00BD3BFE">
        <w:t>9</w:t>
      </w:r>
      <w:r>
        <w:t>.</w:t>
      </w:r>
      <w:r w:rsidR="00BD3BFE">
        <w:t>, te na neplaćene račune za nabavu školskih udžbenika i namještaja za novoizgrađenu sportsku dvoranu, koji će biti plaćeni po refundaciji sredstava od strane osnivača.</w:t>
      </w:r>
    </w:p>
    <w:p w:rsidR="00364820" w:rsidRDefault="00364820" w:rsidP="00F662F7">
      <w:pPr>
        <w:pStyle w:val="Odlomakpopisa"/>
        <w:numPr>
          <w:ilvl w:val="0"/>
          <w:numId w:val="9"/>
        </w:numPr>
        <w:spacing w:line="276" w:lineRule="auto"/>
      </w:pPr>
      <w:r>
        <w:t>AOP 092 Stanje nedospjelih obveza za rashode poslovanja odnosi se na plaće i prijevoz djelatnika za prosinac 201</w:t>
      </w:r>
      <w:r w:rsidR="00BD3BFE">
        <w:t>9</w:t>
      </w:r>
      <w:r>
        <w:t>.</w:t>
      </w:r>
    </w:p>
    <w:p w:rsidR="00364820" w:rsidRDefault="00364820" w:rsidP="00F662F7">
      <w:pPr>
        <w:pStyle w:val="Odlomakpopisa"/>
        <w:numPr>
          <w:ilvl w:val="0"/>
          <w:numId w:val="9"/>
        </w:numPr>
        <w:spacing w:line="276" w:lineRule="auto"/>
      </w:pPr>
      <w:r>
        <w:t>AOP 093 Stanje nedospjelih obveza za nabavu nefinancijske imovine odnosi se na kupljene uređaje koji se plaćaju na rate</w:t>
      </w:r>
      <w:r w:rsidR="00BD3BFE">
        <w:t>.</w:t>
      </w:r>
    </w:p>
    <w:p w:rsidR="00364820" w:rsidRDefault="00364820" w:rsidP="00364820">
      <w:pPr>
        <w:pStyle w:val="Odlomakpopisa"/>
      </w:pPr>
    </w:p>
    <w:p w:rsidR="00364820" w:rsidRDefault="00364820" w:rsidP="00364820">
      <w:r>
        <w:t>OSTALE BILJEŠKE</w:t>
      </w:r>
    </w:p>
    <w:p w:rsidR="00364820" w:rsidRDefault="00364820" w:rsidP="00364820"/>
    <w:p w:rsidR="00364820" w:rsidRDefault="00364820" w:rsidP="00F662F7">
      <w:pPr>
        <w:pStyle w:val="Odlomakpopisa"/>
        <w:numPr>
          <w:ilvl w:val="0"/>
          <w:numId w:val="10"/>
        </w:numPr>
        <w:spacing w:line="276" w:lineRule="auto"/>
      </w:pPr>
      <w:r>
        <w:t>Popis ugovornih odnosa – škola nema ugovornih odnosa koji uz ispunjenje određenih uvjeta mogu postati obveza ili imovina</w:t>
      </w:r>
    </w:p>
    <w:p w:rsidR="00E65BB3" w:rsidRDefault="00364820" w:rsidP="00F662F7">
      <w:pPr>
        <w:pStyle w:val="Odlomakpopisa"/>
        <w:numPr>
          <w:ilvl w:val="0"/>
          <w:numId w:val="10"/>
        </w:numPr>
        <w:spacing w:line="276" w:lineRule="auto"/>
      </w:pPr>
      <w:r>
        <w:t>Popis sudskih sporova u tijeku – škola nema</w:t>
      </w:r>
      <w:r w:rsidR="00F662F7">
        <w:t xml:space="preserve"> sudskih sporova u tijeku</w:t>
      </w:r>
    </w:p>
    <w:p w:rsidR="00E65BB3" w:rsidRPr="00E65BB3" w:rsidRDefault="00E65BB3" w:rsidP="00E65BB3"/>
    <w:p w:rsidR="00E65BB3" w:rsidRPr="00E65BB3" w:rsidRDefault="00E65BB3" w:rsidP="00E65BB3"/>
    <w:p w:rsidR="00E65BB3" w:rsidRDefault="00E65BB3" w:rsidP="00E65BB3"/>
    <w:p w:rsidR="00364820" w:rsidRDefault="00E65BB3" w:rsidP="00E65BB3">
      <w:r>
        <w:t>Zagr</w:t>
      </w:r>
      <w:r w:rsidR="00BD3BFE">
        <w:t>eb, 30.01.202</w:t>
      </w:r>
      <w:r w:rsidR="00976154">
        <w:t>1</w:t>
      </w:r>
      <w:r w:rsidR="00BD3BFE">
        <w:t>.</w:t>
      </w:r>
    </w:p>
    <w:p w:rsidR="00E65BB3" w:rsidRDefault="00E65BB3" w:rsidP="00E65BB3"/>
    <w:p w:rsidR="00E65BB3" w:rsidRDefault="00E65BB3" w:rsidP="00E65BB3"/>
    <w:p w:rsidR="00E65BB3" w:rsidRDefault="00E65BB3" w:rsidP="00E65BB3">
      <w:pPr>
        <w:jc w:val="right"/>
      </w:pPr>
    </w:p>
    <w:p w:rsidR="00E65BB3" w:rsidRDefault="00E65BB3" w:rsidP="00E65BB3">
      <w:pPr>
        <w:jc w:val="right"/>
      </w:pPr>
      <w:r>
        <w:t>Ravnateljica</w:t>
      </w:r>
    </w:p>
    <w:p w:rsidR="00E65BB3" w:rsidRDefault="00E65BB3" w:rsidP="00E65BB3">
      <w:pPr>
        <w:jc w:val="right"/>
      </w:pPr>
    </w:p>
    <w:p w:rsidR="00E65BB3" w:rsidRDefault="00E65BB3" w:rsidP="00E65BB3">
      <w:pPr>
        <w:jc w:val="right"/>
      </w:pPr>
    </w:p>
    <w:p w:rsidR="00E65BB3" w:rsidRPr="00E65BB3" w:rsidRDefault="00E65BB3" w:rsidP="00E65BB3">
      <w:pPr>
        <w:jc w:val="right"/>
      </w:pPr>
      <w:r>
        <w:t>Vlatka Mihelić</w:t>
      </w:r>
    </w:p>
    <w:sectPr w:rsidR="00E65BB3" w:rsidRPr="00E65BB3" w:rsidSect="00FD2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45" w:rsidRDefault="003D1245" w:rsidP="009E4FD9">
      <w:r>
        <w:separator/>
      </w:r>
    </w:p>
  </w:endnote>
  <w:endnote w:type="continuationSeparator" w:id="1">
    <w:p w:rsidR="003D1245" w:rsidRDefault="003D1245" w:rsidP="009E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45" w:rsidRDefault="003D1245" w:rsidP="009E4FD9">
      <w:r>
        <w:separator/>
      </w:r>
    </w:p>
  </w:footnote>
  <w:footnote w:type="continuationSeparator" w:id="1">
    <w:p w:rsidR="003D1245" w:rsidRDefault="003D1245" w:rsidP="009E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459" w:type="dxa"/>
      <w:tblLayout w:type="fixed"/>
      <w:tblLook w:val="0000"/>
    </w:tblPr>
    <w:tblGrid>
      <w:gridCol w:w="3261"/>
      <w:gridCol w:w="8363"/>
    </w:tblGrid>
    <w:tr w:rsidR="009E4FD9" w:rsidTr="00A075B0">
      <w:tc>
        <w:tcPr>
          <w:tcW w:w="3261" w:type="dxa"/>
        </w:tcPr>
        <w:p w:rsidR="009E4FD9" w:rsidRDefault="009E4FD9" w:rsidP="00A075B0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>
                <wp:extent cx="790575" cy="933450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9E4FD9" w:rsidRDefault="009E4FD9" w:rsidP="00A075B0">
          <w:pPr>
            <w:pStyle w:val="Zaglavlje"/>
            <w:ind w:right="1559"/>
            <w:jc w:val="right"/>
          </w:pPr>
        </w:p>
        <w:p w:rsidR="009E4FD9" w:rsidRDefault="009E4FD9" w:rsidP="00A075B0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9E4FD9" w:rsidRDefault="009E4FD9" w:rsidP="00A075B0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F60473" w:rsidRDefault="00F60473" w:rsidP="00F60473">
    <w:pPr>
      <w:pStyle w:val="Zaglavlje"/>
      <w:ind w:left="-567" w:right="-409"/>
      <w:jc w:val="center"/>
    </w:pPr>
    <w:r>
      <w:t xml:space="preserve">                        </w:t>
    </w:r>
    <w:r w:rsidR="00264FE0">
      <w:t xml:space="preserve">                               </w:t>
    </w:r>
    <w:r>
      <w:t xml:space="preserve">Tel: 01 6170 501; fax: 01 6170 844     </w:t>
    </w:r>
    <w:hyperlink r:id="rId2" w:history="1">
      <w:r w:rsidRPr="00561934">
        <w:rPr>
          <w:rStyle w:val="Hiperveza"/>
        </w:rPr>
        <w:t>ured@os-tujevica-zg.skole.hr</w:t>
      </w:r>
    </w:hyperlink>
  </w:p>
  <w:p w:rsidR="00E22E12" w:rsidRDefault="00F60473" w:rsidP="00E22E12">
    <w:pPr>
      <w:pStyle w:val="Zaglavlje"/>
      <w:ind w:left="-567" w:right="-409"/>
    </w:pPr>
    <w:r>
      <w:t xml:space="preserve">                                   </w:t>
    </w:r>
    <w:r w:rsidR="00CA61A1">
      <w:t xml:space="preserve">                         </w:t>
    </w:r>
    <w:r>
      <w:t xml:space="preserve"> </w:t>
    </w:r>
    <w:r w:rsidR="00E22E12">
      <w:br/>
      <w:t>__________________________________________________________</w:t>
    </w:r>
    <w:r w:rsidR="00CA61A1">
      <w:t>___________________________</w:t>
    </w:r>
  </w:p>
  <w:p w:rsidR="009E4FD9" w:rsidRDefault="009E4FD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7EA"/>
    <w:multiLevelType w:val="hybridMultilevel"/>
    <w:tmpl w:val="6824C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F0D"/>
    <w:multiLevelType w:val="hybridMultilevel"/>
    <w:tmpl w:val="DA4AE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1BA"/>
    <w:multiLevelType w:val="hybridMultilevel"/>
    <w:tmpl w:val="CE4CB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5823"/>
    <w:multiLevelType w:val="hybridMultilevel"/>
    <w:tmpl w:val="46DE16D4"/>
    <w:lvl w:ilvl="0" w:tplc="1A36F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54487"/>
    <w:multiLevelType w:val="hybridMultilevel"/>
    <w:tmpl w:val="8C564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20D9C"/>
    <w:multiLevelType w:val="hybridMultilevel"/>
    <w:tmpl w:val="B076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3467"/>
    <w:multiLevelType w:val="hybridMultilevel"/>
    <w:tmpl w:val="BA1C6710"/>
    <w:lvl w:ilvl="0" w:tplc="C20A6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B3CBD"/>
    <w:multiLevelType w:val="hybridMultilevel"/>
    <w:tmpl w:val="43569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40E49"/>
    <w:multiLevelType w:val="hybridMultilevel"/>
    <w:tmpl w:val="0A26C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2D7"/>
    <w:multiLevelType w:val="hybridMultilevel"/>
    <w:tmpl w:val="D9B8F72A"/>
    <w:lvl w:ilvl="0" w:tplc="8D4ABE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DC3C4D"/>
    <w:multiLevelType w:val="hybridMultilevel"/>
    <w:tmpl w:val="A216C35E"/>
    <w:lvl w:ilvl="0" w:tplc="054EDA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036DF8"/>
    <w:multiLevelType w:val="hybridMultilevel"/>
    <w:tmpl w:val="1832B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D9"/>
    <w:rsid w:val="00062E9F"/>
    <w:rsid w:val="000726F8"/>
    <w:rsid w:val="000B6AEF"/>
    <w:rsid w:val="00152B4A"/>
    <w:rsid w:val="001723FC"/>
    <w:rsid w:val="00192B34"/>
    <w:rsid w:val="001B0811"/>
    <w:rsid w:val="00264FE0"/>
    <w:rsid w:val="002809DA"/>
    <w:rsid w:val="002844AA"/>
    <w:rsid w:val="002A2A3A"/>
    <w:rsid w:val="002B2AA5"/>
    <w:rsid w:val="002D4970"/>
    <w:rsid w:val="002F06BC"/>
    <w:rsid w:val="00364820"/>
    <w:rsid w:val="003D1245"/>
    <w:rsid w:val="004B20D4"/>
    <w:rsid w:val="004F2687"/>
    <w:rsid w:val="00500D99"/>
    <w:rsid w:val="005C4C72"/>
    <w:rsid w:val="00616259"/>
    <w:rsid w:val="00630FCF"/>
    <w:rsid w:val="006363A9"/>
    <w:rsid w:val="006B4C0C"/>
    <w:rsid w:val="006E799F"/>
    <w:rsid w:val="00705CE5"/>
    <w:rsid w:val="007E336D"/>
    <w:rsid w:val="008338A3"/>
    <w:rsid w:val="008A7415"/>
    <w:rsid w:val="008C59A3"/>
    <w:rsid w:val="008D2C41"/>
    <w:rsid w:val="00976154"/>
    <w:rsid w:val="009E4FD9"/>
    <w:rsid w:val="00AA6401"/>
    <w:rsid w:val="00AB22A7"/>
    <w:rsid w:val="00B51BF6"/>
    <w:rsid w:val="00BD0B5F"/>
    <w:rsid w:val="00BD3BFE"/>
    <w:rsid w:val="00BE5BB9"/>
    <w:rsid w:val="00BF0077"/>
    <w:rsid w:val="00BF4479"/>
    <w:rsid w:val="00C40A24"/>
    <w:rsid w:val="00CA61A1"/>
    <w:rsid w:val="00CE506F"/>
    <w:rsid w:val="00CF5DCD"/>
    <w:rsid w:val="00D471C8"/>
    <w:rsid w:val="00D61537"/>
    <w:rsid w:val="00D63090"/>
    <w:rsid w:val="00D80EA0"/>
    <w:rsid w:val="00D816CD"/>
    <w:rsid w:val="00DB56C3"/>
    <w:rsid w:val="00DD4D35"/>
    <w:rsid w:val="00DE0E7C"/>
    <w:rsid w:val="00E22E12"/>
    <w:rsid w:val="00E65BB3"/>
    <w:rsid w:val="00EA3EAB"/>
    <w:rsid w:val="00EC581C"/>
    <w:rsid w:val="00ED00CC"/>
    <w:rsid w:val="00ED0433"/>
    <w:rsid w:val="00ED0ABA"/>
    <w:rsid w:val="00EF2878"/>
    <w:rsid w:val="00F60473"/>
    <w:rsid w:val="00F662F7"/>
    <w:rsid w:val="00F935F2"/>
    <w:rsid w:val="00FA2AAD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E4F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4FD9"/>
  </w:style>
  <w:style w:type="paragraph" w:styleId="Podnoje">
    <w:name w:val="footer"/>
    <w:basedOn w:val="Normal"/>
    <w:link w:val="PodnojeChar"/>
    <w:uiPriority w:val="99"/>
    <w:semiHidden/>
    <w:unhideWhenUsed/>
    <w:rsid w:val="009E4F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4FD9"/>
  </w:style>
  <w:style w:type="paragraph" w:styleId="Tekstbalonia">
    <w:name w:val="Balloon Text"/>
    <w:basedOn w:val="Normal"/>
    <w:link w:val="TekstbaloniaChar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F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604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B6AEF"/>
    <w:pPr>
      <w:ind w:left="720"/>
      <w:contextualSpacing/>
    </w:pPr>
  </w:style>
  <w:style w:type="table" w:styleId="Reetkatablice">
    <w:name w:val="Table Grid"/>
    <w:basedOn w:val="Obinatablica"/>
    <w:uiPriority w:val="59"/>
    <w:rsid w:val="000B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tujevica-zg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2018-11-19T12:32:00Z</cp:lastPrinted>
  <dcterms:created xsi:type="dcterms:W3CDTF">2019-01-31T09:10:00Z</dcterms:created>
  <dcterms:modified xsi:type="dcterms:W3CDTF">2021-01-29T15:11:00Z</dcterms:modified>
</cp:coreProperties>
</file>